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865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65759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551"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Fisher Cynthia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48" w:lineRule="auto"/>
        <w:rPr>
          <w:sz w:val="20"/>
          <w:szCs w:val="20"/>
          <w:color w:val="auto"/>
        </w:rPr>
      </w:pPr>
      <w:r>
        <w:rPr>
          <w:rFonts w:ascii="Times New Roman" w:cs="Times New Roman" w:eastAsia="Times New Roman" w:hAnsi="Times New Roman"/>
          <w:sz w:val="17"/>
          <w:szCs w:val="17"/>
          <w:color w:val="0000FF"/>
        </w:rPr>
        <w:t>C/O THE BOSTON BEER COMPANY ONE DESIGN CENTER PLACE, SUITE 850</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02210</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BOSTON BEER CO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40" w:type="dxa"/>
            <w:vAlign w:val="bottom"/>
            <w:tcBorders>
              <w:top w:val="single" w:sz="8" w:color="0000EE"/>
            </w:tcBorders>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05/27/2026</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60" w:space="80"/>
            <w:col w:w="7240"/>
          </w:cols>
          <w:pgMar w:left="460" w:top="216" w:right="359" w:bottom="55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740" w:type="dxa"/>
            <w:vAlign w:val="bottom"/>
            <w:tcBorders>
              <w:bottom w:val="single" w:sz="8" w:color="2C2C2C"/>
            </w:tcBorders>
          </w:tcPr>
          <w:p>
            <w:pPr>
              <w:jc w:val="right"/>
              <w:ind w:right="95"/>
              <w:spacing w:after="0"/>
              <w:rPr>
                <w:sz w:val="20"/>
                <w:szCs w:val="20"/>
                <w:color w:val="auto"/>
              </w:rPr>
            </w:pPr>
            <w:r>
              <w:rPr>
                <w:rFonts w:ascii="Times New Roman" w:cs="Times New Roman" w:eastAsia="Times New Roman" w:hAnsi="Times New Roman"/>
                <w:sz w:val="17"/>
                <w:szCs w:val="17"/>
                <w:color w:val="0000FF"/>
              </w:rPr>
              <w:t>05/27/2026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358</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4,399</w:t>
            </w:r>
            <w:r>
              <w:rPr>
                <w:rFonts w:ascii="Times New Roman" w:cs="Times New Roman" w:eastAsia="Times New Roman" w:hAnsi="Times New Roman"/>
                <w:sz w:val="21"/>
                <w:szCs w:val="21"/>
                <w:color w:val="008000"/>
                <w:w w:val="95"/>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122,923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Person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LLC</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33,248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Person</w:t>
            </w:r>
            <w:r>
              <w:rPr>
                <w:rFonts w:ascii="Times New Roman" w:cs="Times New Roman" w:eastAsia="Times New Roman" w:hAnsi="Times New Roman"/>
                <w:sz w:val="21"/>
                <w:szCs w:val="21"/>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custodian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23,486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under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UGTMA</w:t>
            </w:r>
            <w:r>
              <w:rPr>
                <w:rFonts w:ascii="Times New Roman" w:cs="Times New Roman" w:eastAsia="Times New Roman" w:hAnsi="Times New Roman"/>
                <w:sz w:val="21"/>
                <w:szCs w:val="21"/>
                <w:color w:val="008000"/>
                <w:vertAlign w:val="superscript"/>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LLC</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20,537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Person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adult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3,656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Person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disclaims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beneficial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ownership</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As trustee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2,532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 trust for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6" w:right="359" w:bottom="5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80" w:type="dxa"/>
            <w:vAlign w:val="bottom"/>
          </w:tcPr>
          <w:p>
            <w:pPr>
              <w:spacing w:after="0"/>
              <w:rPr>
                <w:sz w:val="12"/>
                <w:szCs w:val="12"/>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6220" w:type="dxa"/>
            <w:vAlign w:val="bottom"/>
            <w:gridSpan w:val="11"/>
          </w:tcPr>
          <w:p>
            <w:pPr>
              <w:ind w:left="80"/>
              <w:spacing w:after="0" w:line="53" w:lineRule="exact"/>
              <w:rPr>
                <w:sz w:val="20"/>
                <w:szCs w:val="20"/>
                <w:color w:val="auto"/>
              </w:rPr>
            </w:pPr>
            <w:r>
              <w:rPr>
                <w:rFonts w:ascii="Arial" w:cs="Arial" w:eastAsia="Arial" w:hAnsi="Arial"/>
                <w:sz w:val="6"/>
                <w:szCs w:val="6"/>
                <w:b w:val="1"/>
                <w:bCs w:val="1"/>
                <w:color w:val="auto"/>
              </w:rPr>
              <w:t xml:space="preserve">Table II - Derivative Securities Acquired, Disposed of, or </w:t>
            </w:r>
            <w:r>
              <w:rPr>
                <w:rFonts w:ascii="Arial" w:cs="Arial" w:eastAsia="Arial" w:hAnsi="Arial"/>
                <w:sz w:val="5"/>
                <w:szCs w:val="5"/>
                <w:b w:val="1"/>
                <w:bCs w:val="1"/>
                <w:color w:val="auto"/>
              </w:rPr>
              <w:t>Beneficially</w:t>
            </w:r>
            <w:r>
              <w:rPr>
                <w:rFonts w:ascii="Arial" w:cs="Arial" w:eastAsia="Arial" w:hAnsi="Arial"/>
                <w:sz w:val="6"/>
                <w:szCs w:val="6"/>
                <w:b w:val="1"/>
                <w:bCs w:val="1"/>
                <w:color w:val="auto"/>
              </w:rPr>
              <w:t xml:space="preserve"> Owned</w:t>
            </w: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vMerge w:val="restart"/>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tcPr>
          <w:p>
            <w:pPr>
              <w:ind w:left="60"/>
              <w:spacing w:after="0" w:line="79" w:lineRule="exact"/>
              <w:rPr>
                <w:sz w:val="20"/>
                <w:szCs w:val="20"/>
                <w:color w:val="auto"/>
              </w:rPr>
            </w:pPr>
            <w:r>
              <w:rPr>
                <w:rFonts w:ascii="Arial" w:cs="Arial" w:eastAsia="Arial" w:hAnsi="Arial"/>
                <w:sz w:val="9"/>
                <w:szCs w:val="9"/>
                <w:b w:val="1"/>
                <w:bCs w:val="1"/>
                <w:color w:val="auto"/>
              </w:rPr>
              <w:t>Execution Date,</w:t>
            </w:r>
          </w:p>
        </w:tc>
        <w:tc>
          <w:tcPr>
            <w:tcW w:w="820" w:type="dxa"/>
            <w:vAlign w:val="bottom"/>
            <w:gridSpan w:val="2"/>
          </w:tcPr>
          <w:p>
            <w:pPr>
              <w:ind w:left="80"/>
              <w:spacing w:after="0" w:line="79" w:lineRule="exact"/>
              <w:rPr>
                <w:sz w:val="20"/>
                <w:szCs w:val="20"/>
                <w:color w:val="auto"/>
              </w:rPr>
            </w:pPr>
            <w:r>
              <w:rPr>
                <w:rFonts w:ascii="Arial" w:cs="Arial" w:eastAsia="Arial" w:hAnsi="Arial"/>
                <w:sz w:val="9"/>
                <w:szCs w:val="9"/>
                <w:b w:val="1"/>
                <w:bCs w:val="1"/>
                <w:color w:val="auto"/>
              </w:rPr>
              <w:t>Transaction</w:t>
            </w:r>
          </w:p>
        </w:tc>
        <w:tc>
          <w:tcPr>
            <w:tcW w:w="720" w:type="dxa"/>
            <w:vAlign w:val="bottom"/>
          </w:tcPr>
          <w:p>
            <w:pPr>
              <w:ind w:left="80"/>
              <w:spacing w:after="0" w:line="79" w:lineRule="exact"/>
              <w:rPr>
                <w:sz w:val="20"/>
                <w:szCs w:val="20"/>
                <w:color w:val="auto"/>
              </w:rPr>
            </w:pPr>
            <w:r>
              <w:rPr>
                <w:rFonts w:ascii="Arial" w:cs="Arial" w:eastAsia="Arial" w:hAnsi="Arial"/>
                <w:sz w:val="9"/>
                <w:szCs w:val="9"/>
                <w:b w:val="1"/>
                <w:bCs w:val="1"/>
                <w:color w:val="auto"/>
              </w:rPr>
              <w:t>of</w:t>
            </w:r>
          </w:p>
        </w:tc>
        <w:tc>
          <w:tcPr>
            <w:tcW w:w="1520" w:type="dxa"/>
            <w:vAlign w:val="bottom"/>
            <w:gridSpan w:val="2"/>
          </w:tcPr>
          <w:p>
            <w:pPr>
              <w:ind w:left="60"/>
              <w:spacing w:after="0" w:line="79" w:lineRule="exact"/>
              <w:rPr>
                <w:sz w:val="20"/>
                <w:szCs w:val="20"/>
                <w:color w:val="auto"/>
              </w:rPr>
            </w:pPr>
            <w:r>
              <w:rPr>
                <w:rFonts w:ascii="Arial" w:cs="Arial" w:eastAsia="Arial" w:hAnsi="Arial"/>
                <w:sz w:val="9"/>
                <w:szCs w:val="9"/>
                <w:b w:val="1"/>
                <w:bCs w:val="1"/>
                <w:color w:val="auto"/>
              </w:rPr>
              <w:t>Expiration Date</w:t>
            </w:r>
          </w:p>
        </w:tc>
        <w:tc>
          <w:tcPr>
            <w:tcW w:w="640" w:type="dxa"/>
            <w:vAlign w:val="bottom"/>
          </w:tcPr>
          <w:p>
            <w:pPr>
              <w:ind w:left="60"/>
              <w:spacing w:after="0" w:line="79" w:lineRule="exact"/>
              <w:rPr>
                <w:sz w:val="20"/>
                <w:szCs w:val="20"/>
                <w:color w:val="auto"/>
              </w:rPr>
            </w:pPr>
            <w:r>
              <w:rPr>
                <w:rFonts w:ascii="Arial" w:cs="Arial" w:eastAsia="Arial" w:hAnsi="Arial"/>
                <w:sz w:val="9"/>
                <w:szCs w:val="9"/>
                <w:b w:val="1"/>
                <w:bCs w:val="1"/>
                <w:color w:val="auto"/>
              </w:rPr>
              <w:t>Amount of</w:t>
            </w:r>
          </w:p>
        </w:tc>
        <w:tc>
          <w:tcPr>
            <w:tcW w:w="560" w:type="dxa"/>
            <w:vAlign w:val="bottom"/>
          </w:tcPr>
          <w:p>
            <w:pPr>
              <w:spacing w:after="0"/>
              <w:rPr>
                <w:sz w:val="6"/>
                <w:szCs w:val="6"/>
                <w:color w:val="auto"/>
              </w:rPr>
            </w:pPr>
          </w:p>
        </w:tc>
        <w:tc>
          <w:tcPr>
            <w:tcW w:w="700" w:type="dxa"/>
            <w:vAlign w:val="bottom"/>
          </w:tcPr>
          <w:p>
            <w:pPr>
              <w:ind w:left="60"/>
              <w:spacing w:after="0" w:line="79"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or Exercise</w:t>
            </w:r>
          </w:p>
        </w:tc>
        <w:tc>
          <w:tcPr>
            <w:tcW w:w="11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(Month/Day/Year)</w:t>
            </w: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5"/>
                <w:szCs w:val="5"/>
                <w:color w:val="auto"/>
              </w:rPr>
            </w:pPr>
          </w:p>
        </w:tc>
        <w:tc>
          <w:tcPr>
            <w:tcW w:w="820" w:type="dxa"/>
            <w:vAlign w:val="bottom"/>
            <w:gridSpan w:val="2"/>
          </w:tcPr>
          <w:p>
            <w:pPr>
              <w:ind w:left="80"/>
              <w:spacing w:after="0" w:line="66" w:lineRule="exact"/>
              <w:rPr>
                <w:sz w:val="20"/>
                <w:szCs w:val="20"/>
                <w:color w:val="auto"/>
              </w:rPr>
            </w:pPr>
            <w:r>
              <w:rPr>
                <w:rFonts w:ascii="Arial" w:cs="Arial" w:eastAsia="Arial" w:hAnsi="Arial"/>
                <w:sz w:val="7"/>
                <w:szCs w:val="7"/>
                <w:b w:val="1"/>
                <w:bCs w:val="1"/>
                <w:color w:val="auto"/>
              </w:rPr>
              <w:t>Code (Instr.</w:t>
            </w:r>
          </w:p>
        </w:tc>
        <w:tc>
          <w:tcPr>
            <w:tcW w:w="720" w:type="dxa"/>
            <w:vAlign w:val="bottom"/>
          </w:tcPr>
          <w:p>
            <w:pPr>
              <w:ind w:left="80"/>
              <w:spacing w:after="0" w:line="66" w:lineRule="exact"/>
              <w:rPr>
                <w:sz w:val="20"/>
                <w:szCs w:val="20"/>
                <w:color w:val="auto"/>
              </w:rPr>
            </w:pPr>
            <w:r>
              <w:rPr>
                <w:rFonts w:ascii="Arial" w:cs="Arial" w:eastAsia="Arial" w:hAnsi="Arial"/>
                <w:sz w:val="7"/>
                <w:szCs w:val="7"/>
                <w:b w:val="1"/>
                <w:bCs w:val="1"/>
                <w:color w:val="auto"/>
              </w:rPr>
              <w:t>Derivative</w:t>
            </w:r>
          </w:p>
        </w:tc>
        <w:tc>
          <w:tcPr>
            <w:tcW w:w="1520" w:type="dxa"/>
            <w:vAlign w:val="bottom"/>
            <w:gridSpan w:val="2"/>
          </w:tcPr>
          <w:p>
            <w:pPr>
              <w:ind w:left="60"/>
              <w:spacing w:after="0" w:line="66" w:lineRule="exact"/>
              <w:rPr>
                <w:sz w:val="20"/>
                <w:szCs w:val="20"/>
                <w:color w:val="auto"/>
              </w:rPr>
            </w:pPr>
            <w:r>
              <w:rPr>
                <w:rFonts w:ascii="Arial" w:cs="Arial" w:eastAsia="Arial" w:hAnsi="Arial"/>
                <w:sz w:val="7"/>
                <w:szCs w:val="7"/>
                <w:b w:val="1"/>
                <w:bCs w:val="1"/>
                <w:color w:val="auto"/>
              </w:rPr>
              <w:t>(M nth/Day/Year)</w:t>
            </w:r>
          </w:p>
        </w:tc>
        <w:tc>
          <w:tcPr>
            <w:tcW w:w="1200" w:type="dxa"/>
            <w:vAlign w:val="bottom"/>
            <w:gridSpan w:val="2"/>
          </w:tcPr>
          <w:p>
            <w:pPr>
              <w:ind w:left="60"/>
              <w:spacing w:after="0" w:line="66" w:lineRule="exact"/>
              <w:rPr>
                <w:sz w:val="20"/>
                <w:szCs w:val="20"/>
                <w:color w:val="auto"/>
              </w:rPr>
            </w:pPr>
            <w:r>
              <w:rPr>
                <w:rFonts w:ascii="Arial" w:cs="Arial" w:eastAsia="Arial" w:hAnsi="Arial"/>
                <w:sz w:val="7"/>
                <w:szCs w:val="7"/>
                <w:b w:val="1"/>
                <w:bCs w:val="1"/>
                <w:color w:val="auto"/>
              </w:rPr>
              <w:t>S securities)</w:t>
            </w:r>
          </w:p>
        </w:tc>
        <w:tc>
          <w:tcPr>
            <w:tcW w:w="700" w:type="dxa"/>
            <w:vAlign w:val="bottom"/>
          </w:tcPr>
          <w:p>
            <w:pPr>
              <w:ind w:left="60"/>
              <w:spacing w:after="0" w:line="66" w:lineRule="exact"/>
              <w:rPr>
                <w:sz w:val="20"/>
                <w:szCs w:val="20"/>
                <w:color w:val="auto"/>
              </w:rPr>
            </w:pPr>
            <w:r>
              <w:rPr>
                <w:rFonts w:ascii="Arial" w:cs="Arial" w:eastAsia="Arial" w:hAnsi="Arial"/>
                <w:sz w:val="7"/>
                <w:szCs w:val="7"/>
                <w:b w:val="1"/>
                <w:bCs w:val="1"/>
                <w:color w:val="auto"/>
              </w:rPr>
              <w:t>Security</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Form:</w:t>
            </w:r>
          </w:p>
        </w:tc>
        <w:tc>
          <w:tcPr>
            <w:tcW w:w="7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300" w:type="dxa"/>
            <w:vAlign w:val="bottom"/>
            <w:gridSpan w:val="7"/>
          </w:tcPr>
          <w:p>
            <w:pPr>
              <w:ind w:left="140"/>
              <w:spacing w:after="0" w:line="78" w:lineRule="exact"/>
              <w:rPr>
                <w:sz w:val="20"/>
                <w:szCs w:val="20"/>
                <w:color w:val="auto"/>
              </w:rPr>
            </w:pPr>
            <w:r>
              <w:rPr>
                <w:rFonts w:ascii="Arial" w:cs="Arial" w:eastAsia="Arial" w:hAnsi="Arial"/>
                <w:sz w:val="8"/>
                <w:szCs w:val="8"/>
                <w:b w:val="1"/>
                <w:bCs w:val="1"/>
                <w:color w:val="auto"/>
              </w:rPr>
              <w:t>(e.g., puts, calls, warrants, options, convertible</w:t>
            </w: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80" w:type="dxa"/>
            <w:vAlign w:val="bottom"/>
          </w:tcPr>
          <w:p>
            <w:pPr>
              <w:spacing w:after="0"/>
              <w:rPr>
                <w:sz w:val="12"/>
                <w:szCs w:val="12"/>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 or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Underlyingof</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72"/>
              </w:rPr>
              <w:t>Acquired(A)(D)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74"/>
              </w:rPr>
              <w:t>DerivativeTitle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w w:val="79"/>
              </w:rPr>
              <w:t>SecurityShares</w:t>
            </w:r>
          </w:p>
        </w:tc>
        <w:tc>
          <w:tcPr>
            <w:tcW w:w="700" w:type="dxa"/>
            <w:vAlign w:val="bottom"/>
          </w:tcPr>
          <w:p>
            <w:pPr>
              <w:spacing w:after="0"/>
              <w:rPr>
                <w:sz w:val="12"/>
                <w:szCs w:val="12"/>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May 27,</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2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3"/>
                <w:szCs w:val="13"/>
                <w:color w:val="0000FF"/>
              </w:rPr>
              <w:t>2026</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181.63</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05/27/2026</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vMerge w:val="restart"/>
          </w:tcPr>
          <w:p>
            <w:pPr>
              <w:ind w:left="120"/>
              <w:spacing w:after="0" w:line="197"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(5)</w:t>
            </w:r>
          </w:p>
        </w:tc>
        <w:tc>
          <w:tcPr>
            <w:tcW w:w="34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05/25/2036</w:t>
            </w:r>
          </w:p>
        </w:tc>
        <w:tc>
          <w:tcPr>
            <w:tcW w:w="64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691</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ind w:left="80"/>
              <w:spacing w:after="0" w:line="66" w:lineRule="exact"/>
              <w:rPr>
                <w:sz w:val="20"/>
                <w:szCs w:val="20"/>
                <w:color w:val="auto"/>
              </w:rPr>
            </w:pPr>
            <w:r>
              <w:rPr>
                <w:rFonts w:ascii="Times New Roman" w:cs="Times New Roman" w:eastAsia="Times New Roman" w:hAnsi="Times New Roman"/>
                <w:sz w:val="7"/>
                <w:szCs w:val="7"/>
                <w:color w:val="0000FF"/>
              </w:rPr>
              <w:t>691</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tcPr>
          <w:p>
            <w:pPr>
              <w:ind w:left="380"/>
              <w:spacing w:after="0" w:line="66" w:lineRule="exact"/>
              <w:rPr>
                <w:sz w:val="20"/>
                <w:szCs w:val="20"/>
                <w:color w:val="auto"/>
              </w:rPr>
            </w:pPr>
            <w:r>
              <w:rPr>
                <w:rFonts w:ascii="Times New Roman" w:cs="Times New Roman" w:eastAsia="Times New Roman" w:hAnsi="Times New Roman"/>
                <w:sz w:val="7"/>
                <w:szCs w:val="7"/>
                <w:color w:val="0000FF"/>
              </w:rPr>
              <w:t>691</w:t>
            </w: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ind w:left="80"/>
              <w:spacing w:after="0" w:line="79" w:lineRule="exact"/>
              <w:rPr>
                <w:sz w:val="20"/>
                <w:szCs w:val="20"/>
                <w:color w:val="auto"/>
              </w:rPr>
            </w:pPr>
            <w:r>
              <w:rPr>
                <w:rFonts w:ascii="Arial" w:cs="Arial" w:eastAsia="Arial" w:hAnsi="Arial"/>
                <w:sz w:val="9"/>
                <w:szCs w:val="9"/>
                <w:b w:val="1"/>
                <w:bCs w:val="1"/>
                <w:color w:val="auto"/>
              </w:rPr>
              <w:t>(Instr. 3, 4</w:t>
            </w: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ind w:left="80"/>
              <w:spacing w:after="0" w:line="79"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4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ind w:left="40"/>
              <w:spacing w:after="0" w:line="91" w:lineRule="exact"/>
              <w:rPr>
                <w:sz w:val="20"/>
                <w:szCs w:val="20"/>
                <w:color w:val="auto"/>
              </w:rPr>
            </w:pPr>
            <w:r>
              <w:rPr>
                <w:rFonts w:ascii="Arial" w:cs="Arial" w:eastAsia="Arial" w:hAnsi="Arial"/>
                <w:sz w:val="9"/>
                <w:szCs w:val="9"/>
                <w:b w:val="1"/>
                <w:bCs w:val="1"/>
                <w:color w:val="auto"/>
              </w:rPr>
              <w:t>or</w:t>
            </w: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60" w:type="dxa"/>
            <w:vAlign w:val="bottom"/>
            <w:gridSpan w:val="19"/>
          </w:tcPr>
          <w:p>
            <w:pPr>
              <w:ind w:left="20"/>
              <w:spacing w:after="0" w:line="105" w:lineRule="exact"/>
              <w:rPr>
                <w:sz w:val="20"/>
                <w:szCs w:val="20"/>
                <w:color w:val="auto"/>
              </w:rPr>
            </w:pPr>
            <w:r>
              <w:rPr>
                <w:rFonts w:ascii="Times New Roman" w:cs="Times New Roman" w:eastAsia="Times New Roman" w:hAnsi="Times New Roman"/>
                <w:sz w:val="12"/>
                <w:szCs w:val="12"/>
                <w:color w:val="008000"/>
              </w:rPr>
              <w:t>1. On May 27, 2026, the Issuer granted 358 RSUs to the Reporting Person under the Issuer's Equity Plan for Non-Employee Directors. The shares will vest in full on May 12, 2027, provided that the non-</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140" w:type="dxa"/>
            <w:vAlign w:val="bottom"/>
            <w:gridSpan w:val="7"/>
            <w:vMerge w:val="restart"/>
          </w:tcPr>
          <w:p>
            <w:pPr>
              <w:ind w:left="20"/>
              <w:spacing w:after="0"/>
              <w:rPr>
                <w:sz w:val="20"/>
                <w:szCs w:val="20"/>
                <w:color w:val="auto"/>
              </w:rPr>
            </w:pPr>
            <w:r>
              <w:rPr>
                <w:rFonts w:ascii="Times New Roman" w:cs="Times New Roman" w:eastAsia="Times New Roman" w:hAnsi="Times New Roman"/>
                <w:sz w:val="13"/>
                <w:szCs w:val="13"/>
                <w:color w:val="008000"/>
              </w:rPr>
              <w:t>employee Director remains a member of the Board of Directors as of that date.</w:t>
            </w: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ind w:left="40"/>
              <w:spacing w:after="0" w:line="39" w:lineRule="exact"/>
              <w:rPr>
                <w:sz w:val="20"/>
                <w:szCs w:val="20"/>
                <w:color w:val="auto"/>
              </w:rPr>
            </w:pPr>
            <w:r>
              <w:rPr>
                <w:rFonts w:ascii="Arial" w:cs="Arial" w:eastAsia="Arial" w:hAnsi="Arial"/>
                <w:sz w:val="4"/>
                <w:szCs w:val="4"/>
                <w:b w:val="1"/>
                <w:bCs w:val="1"/>
                <w:color w:val="auto"/>
              </w:rPr>
              <w:t>Number</w:t>
            </w: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7"/>
            <w:vMerge w:val="continue"/>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V</w:t>
            </w:r>
          </w:p>
        </w:tc>
        <w:tc>
          <w:tcPr>
            <w:tcW w:w="72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line="118" w:lineRule="exact"/>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200" w:type="dxa"/>
            <w:vAlign w:val="bottom"/>
            <w:gridSpan w:val="9"/>
          </w:tcPr>
          <w:p>
            <w:pPr>
              <w:ind w:left="20"/>
              <w:spacing w:after="0" w:line="79" w:lineRule="exact"/>
              <w:rPr>
                <w:sz w:val="20"/>
                <w:szCs w:val="20"/>
                <w:color w:val="auto"/>
              </w:rPr>
            </w:pPr>
            <w:r>
              <w:rPr>
                <w:rFonts w:ascii="Times New Roman" w:cs="Times New Roman" w:eastAsia="Times New Roman" w:hAnsi="Times New Roman"/>
                <w:sz w:val="9"/>
                <w:szCs w:val="9"/>
                <w:color w:val="008000"/>
              </w:rPr>
              <w:t>2. The shares reported include 358 shares of restricted stock subject to vesting conditions.</w:t>
            </w: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2334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5960" cy="2334895"/>
                    </a:xfrm>
                    <a:prstGeom prst="rect">
                      <a:avLst/>
                    </a:prstGeom>
                    <a:noFill/>
                  </pic:spPr>
                </pic:pic>
              </a:graphicData>
            </a:graphic>
          </wp:anchor>
        </w:drawing>
      </w:r>
    </w:p>
    <w:p>
      <w:pPr>
        <w:ind w:left="40" w:right="340"/>
        <w:spacing w:after="0" w:line="259" w:lineRule="auto"/>
        <w:rPr>
          <w:sz w:val="20"/>
          <w:szCs w:val="20"/>
          <w:color w:val="auto"/>
        </w:rPr>
      </w:pPr>
      <w:r>
        <w:rPr>
          <w:rFonts w:ascii="Times New Roman" w:cs="Times New Roman" w:eastAsia="Times New Roman" w:hAnsi="Times New Roman"/>
          <w:sz w:val="13"/>
          <w:szCs w:val="13"/>
          <w:color w:val="008000"/>
        </w:rPr>
        <w:t>3. The shares are held by a limited liability company managed by the Reporting Person. The Reporting Person expressly disclaims beneficial ownership of the securities except to the extent of her pecuniary interest therein.</w:t>
      </w:r>
    </w:p>
    <w:p>
      <w:pPr>
        <w:spacing w:after="0" w:line="16" w:lineRule="exact"/>
        <w:rPr>
          <w:sz w:val="20"/>
          <w:szCs w:val="20"/>
          <w:color w:val="auto"/>
        </w:rPr>
      </w:pPr>
    </w:p>
    <w:p>
      <w:pPr>
        <w:ind w:left="40" w:right="580"/>
        <w:spacing w:after="0" w:line="259" w:lineRule="auto"/>
        <w:rPr>
          <w:sz w:val="20"/>
          <w:szCs w:val="20"/>
          <w:color w:val="auto"/>
        </w:rPr>
      </w:pPr>
      <w:r>
        <w:rPr>
          <w:rFonts w:ascii="Times New Roman" w:cs="Times New Roman" w:eastAsia="Times New Roman" w:hAnsi="Times New Roman"/>
          <w:sz w:val="13"/>
          <w:szCs w:val="13"/>
          <w:color w:val="008000"/>
        </w:rPr>
        <w:t>4. The shares are held by an LLC managed by the Reporting Person and owned by Trusts established for the benefit of the Reporting Person's children and the Reporting Person's spouse's children. The Reporting Person is the Trustee or Co-Trustee for each Trust.</w:t>
      </w:r>
    </w:p>
    <w:p>
      <w:pPr>
        <w:spacing w:after="0" w:line="16" w:lineRule="exact"/>
        <w:rPr>
          <w:sz w:val="20"/>
          <w:szCs w:val="20"/>
          <w:color w:val="auto"/>
        </w:rPr>
      </w:pPr>
    </w:p>
    <w:p>
      <w:pPr>
        <w:ind w:left="40" w:right="420"/>
        <w:spacing w:after="0" w:line="259" w:lineRule="auto"/>
        <w:rPr>
          <w:sz w:val="20"/>
          <w:szCs w:val="20"/>
          <w:color w:val="auto"/>
        </w:rPr>
      </w:pPr>
      <w:r>
        <w:rPr>
          <w:rFonts w:ascii="Times New Roman" w:cs="Times New Roman" w:eastAsia="Times New Roman" w:hAnsi="Times New Roman"/>
          <w:sz w:val="13"/>
          <w:szCs w:val="13"/>
          <w:color w:val="008000"/>
        </w:rPr>
        <w:t>5. On May 27, 2026, the Issuer granted 691 option shares to the Reporting Person under the Issuer's Equity Plan for Non-Employee Directors. The option shares are immediately exercisable, subject to the Company's Director Stock Ownership and Retention Guidelines.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Michael G. Andrews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169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POA for the benefit of Cynthia 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400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0860" TargetMode="External"/><Relationship Id="rId14" Type="http://schemas.openxmlformats.org/officeDocument/2006/relationships/hyperlink" Target="http://www.sec.gov/cgi-bin/browse-edgar?action=getcompany&amp;CIK=00009498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2026-05-28T06:53:23Z</dcterms:created>
  <dcterms:modified xsi:type="dcterms:W3CDTF">2026-05-28T06:53:23Z</dcterms:modified>
</cp:coreProperties>
</file>