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Boston Beer Company,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001-14092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04-3284048</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One Design Center Place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850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02210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368-5000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SAM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15, 2026, the Company entered into a 10b5-1 plan to repurchase up to $25 million of the Company’s Class A Common Stock during the period commencing June 29, 2026 and ending September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89" w:right="6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Boston Beer Company,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19, 2026</w:t>
      </w:r>
      <w:r>
        <w:rPr>
          <w:sz w:val="20"/>
          <w:szCs w:val="20"/>
          <w:color w:val="auto"/>
        </w:rPr>
        <w:tab/>
      </w:r>
      <w:r>
        <w:rPr>
          <w:rFonts w:ascii="Times New Roman" w:cs="Times New Roman" w:eastAsia="Times New Roman" w:hAnsi="Times New Roman"/>
          <w:sz w:val="18"/>
          <w:szCs w:val="18"/>
          <w:color w:val="auto"/>
        </w:rPr>
        <w:t>By:</w:t>
        <w:tab/>
        <w:t>/s/ Jim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 James Koch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Chairman,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2026-05-19T15:09:32Z</dcterms:created>
  <dcterms:modified xsi:type="dcterms:W3CDTF">2026-05-19T15:09:32Z</dcterms:modified>
</cp:coreProperties>
</file>